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80"/>
      </w:pPr>
      <w:r>
        <w:rPr>
          <w:rFonts w:ascii="Times New Roman" w:cs="Times New Roman" w:eastAsia="Times New Roman" w:hAnsi="Times New Roman"/>
          <w:b/>
          <w:bCs/>
          <w:color w:val="082F5B"/>
          <w:sz w:val="36"/>
          <w:szCs w:val="36"/>
        </w:rPr>
        <w:t xml:space="preserve">Staff Report</w:t>
      </w:r>
    </w:p>
    <w:p>
      <w:pPr>
        <w:tabs>
          <w:tab w:val="left" w:pos="1440"/>
        </w:tabs>
        <w:spacing w:after="120"/>
        <w:ind w:left="1440" w:hanging="1440"/>
      </w:pPr>
      <w:r>
        <w:rPr>
          <w:rFonts w:ascii="Times New Roman" w:cs="Times New Roman" w:eastAsia="Times New Roman" w:hAnsi="Times New Roman"/>
          <w:b/>
          <w:bCs/>
          <w:sz w:val="24"/>
          <w:szCs w:val="24"/>
        </w:rPr>
        <w:t xml:space="preserve">DATE:</w:t>
      </w:r>
      <w:r>
        <w:rPr>
          <w:rFonts w:ascii="Times New Roman" w:cs="Times New Roman" w:eastAsia="Times New Roman" w:hAnsi="Times New Roman"/>
          <w:sz w:val="24"/>
          <w:szCs w:val="24"/>
        </w:rPr>
        <w:t xml:space="preserve">	____________ __, 20___</w:t>
      </w:r>
    </w:p>
    <w:p>
      <w:pPr>
        <w:tabs>
          <w:tab w:val="left" w:pos="1440"/>
        </w:tabs>
        <w:spacing w:after="120"/>
        <w:ind w:left="1440" w:hanging="1440"/>
      </w:pPr>
      <w:r>
        <w:rPr>
          <w:rFonts w:ascii="Times New Roman" w:cs="Times New Roman" w:eastAsia="Times New Roman" w:hAnsi="Times New Roman"/>
          <w:b/>
          <w:bCs/>
          <w:sz w:val="24"/>
          <w:szCs w:val="24"/>
        </w:rPr>
        <w:t xml:space="preserve">TO:</w:t>
      </w:r>
      <w:r>
        <w:rPr>
          <w:rFonts w:ascii="Times New Roman" w:cs="Times New Roman" w:eastAsia="Times New Roman" w:hAnsi="Times New Roman"/>
          <w:sz w:val="24"/>
          <w:szCs w:val="24"/>
        </w:rPr>
        <w:t xml:space="preserve">	[City Council] [Board of Directors]</w:t>
      </w:r>
    </w:p>
    <w:p>
      <w:pPr>
        <w:tabs>
          <w:tab w:val="left" w:pos="1440"/>
        </w:tabs>
        <w:spacing w:after="120"/>
        <w:ind w:left="1440" w:hanging="1440"/>
      </w:pPr>
      <w:r>
        <w:rPr>
          <w:rFonts w:ascii="Times New Roman" w:cs="Times New Roman" w:eastAsia="Times New Roman" w:hAnsi="Times New Roman"/>
          <w:b/>
          <w:bCs/>
          <w:sz w:val="24"/>
          <w:szCs w:val="24"/>
        </w:rPr>
        <w:t xml:space="preserve">FROM:</w:t>
      </w:r>
      <w:r>
        <w:rPr>
          <w:rFonts w:ascii="Times New Roman" w:cs="Times New Roman" w:eastAsia="Times New Roman" w:hAnsi="Times New Roman"/>
          <w:sz w:val="24"/>
          <w:szCs w:val="24"/>
        </w:rPr>
        <w:t xml:space="preserve">	______________________________</w:t>
      </w:r>
    </w:p>
    <w:p>
      <w:pPr>
        <w:tabs>
          <w:tab w:val="left" w:pos="1440"/>
        </w:tabs>
        <w:spacing w:after="120"/>
        <w:ind w:left="1440" w:hanging="1440"/>
      </w:pPr>
      <w:r>
        <w:rPr>
          <w:rFonts w:ascii="Times New Roman" w:cs="Times New Roman" w:eastAsia="Times New Roman" w:hAnsi="Times New Roman"/>
          <w:b/>
          <w:bCs/>
          <w:sz w:val="24"/>
          <w:szCs w:val="24"/>
        </w:rPr>
        <w:t xml:space="preserve">SUBJECT:</w:t>
      </w:r>
      <w:r>
        <w:rPr>
          <w:rFonts w:ascii="Times New Roman" w:cs="Times New Roman" w:eastAsia="Times New Roman" w:hAnsi="Times New Roman"/>
          <w:sz w:val="24"/>
          <w:szCs w:val="24"/>
        </w:rPr>
        <w:t xml:space="preserve">	Approval of Non-Charter (Non-Voting) Membership in the California Municipal Public Financing Authority and Authorization to Execute a Non-Charter Membership Agreement</w:t>
      </w:r>
    </w:p>
    <w:p>
      <w:pPr>
        <w:pBdr>
          <w:bottom w:val="single" w:color="082F5B" w:sz="12" w:space="1"/>
        </w:pBdr>
        <w:spacing w:after="120"/>
      </w:pPr>
      <w:r>
        <w:rPr>
          <w:rFonts w:ascii="Times New Roman" w:cs="Times New Roman" w:eastAsia="Times New Roman" w:hAnsi="Times New Roman"/>
          <w:sz w:val="24"/>
          <w:szCs w:val="24"/>
        </w:rPr>
        <w:t xml:space="preserve"/>
      </w:r>
    </w:p>
    <w:p>
      <w:pPr>
        <w:keepNext/>
        <w:pBdr>
          <w:bottom w:val="single" w:color="B9C8D3" w:sz="4" w:space="2"/>
        </w:pBdr>
        <w:spacing w:after="140" w:before="280"/>
      </w:pPr>
      <w:r>
        <w:rPr>
          <w:rFonts w:ascii="Times New Roman" w:cs="Times New Roman" w:eastAsia="Times New Roman" w:hAnsi="Times New Roman"/>
          <w:b/>
          <w:bCs/>
          <w:color w:val="082F5B"/>
          <w:sz w:val="24"/>
          <w:szCs w:val="24"/>
        </w:rPr>
        <w:t xml:space="preserve">RECOMMENDED ACTION</w:t>
      </w:r>
    </w:p>
    <w:p>
      <w:pPr>
        <w:spacing w:after="200" w:line="276"/>
        <w:jc w:val="both"/>
      </w:pPr>
      <w:r>
        <w:rPr>
          <w:rFonts w:ascii="Times New Roman" w:cs="Times New Roman" w:eastAsia="Times New Roman" w:hAnsi="Times New Roman"/>
          <w:sz w:val="24"/>
          <w:szCs w:val="24"/>
        </w:rPr>
        <w:t xml:space="preserve">Staff recommends that the [City Council] [Board of Directors] adopt Resolution No. _______, approving non-charter (non-voting) membership of ______________________________ (the “Agency”) in the California Municipal Public Financing Authority (“CalMuni PFA”), and authorizing the [Mayor] [President] [Chair] and the [City Manager] [General Manager] [Executive Director] to execute the Non-Charter Membership Agreement with CalMuni PFA.</w:t>
      </w:r>
    </w:p>
    <w:p>
      <w:pPr>
        <w:keepNext/>
        <w:pBdr>
          <w:bottom w:val="single" w:color="B9C8D3" w:sz="4" w:space="2"/>
        </w:pBdr>
        <w:spacing w:after="140" w:before="280"/>
      </w:pPr>
      <w:r>
        <w:rPr>
          <w:rFonts w:ascii="Times New Roman" w:cs="Times New Roman" w:eastAsia="Times New Roman" w:hAnsi="Times New Roman"/>
          <w:b/>
          <w:bCs/>
          <w:color w:val="082F5B"/>
          <w:sz w:val="24"/>
          <w:szCs w:val="24"/>
        </w:rPr>
        <w:t xml:space="preserve">EXECUTIVE SUMMARY</w:t>
      </w:r>
    </w:p>
    <w:p>
      <w:pPr>
        <w:spacing w:after="200" w:line="276"/>
        <w:jc w:val="both"/>
      </w:pPr>
      <w:r>
        <w:rPr>
          <w:rFonts w:ascii="Times New Roman" w:cs="Times New Roman" w:eastAsia="Times New Roman" w:hAnsi="Times New Roman"/>
          <w:sz w:val="24"/>
          <w:szCs w:val="24"/>
        </w:rPr>
        <w:t xml:space="preserve">This report recommends that the Agency become a non-charter (non-voting) member of CalMuni PFA, a statewide joint powers authority that issues tax-exempt and taxable financing for California public agencies.</w:t>
      </w:r>
    </w:p>
    <w:p>
      <w:pPr>
        <w:spacing w:after="200" w:line="276"/>
        <w:jc w:val="both"/>
      </w:pPr>
      <w:r>
        <w:rPr>
          <w:rFonts w:ascii="Times New Roman" w:cs="Times New Roman" w:eastAsia="Times New Roman" w:hAnsi="Times New Roman"/>
          <w:sz w:val="24"/>
          <w:szCs w:val="24"/>
        </w:rPr>
        <w:t xml:space="preserve">Membership carries no cost, no financial obligation, and no commitment to undertake any financing. It gives the Agency access to competitive capital markets and pooled financings through CalMuni PFA when a capital need arises. Long-range financial modeling is available as an optional, separately billed service. Membership takes effect upon adoption of the Resolution and execution of a two-page membership agreement.</w:t>
      </w:r>
    </w:p>
    <w:p>
      <w:pPr>
        <w:spacing w:after="200" w:line="276"/>
        <w:jc w:val="both"/>
      </w:pPr>
      <w:r>
        <w:rPr>
          <w:rFonts w:ascii="Times New Roman" w:cs="Times New Roman" w:eastAsia="Times New Roman" w:hAnsi="Times New Roman"/>
          <w:sz w:val="24"/>
          <w:szCs w:val="24"/>
        </w:rPr>
        <w:t xml:space="preserve">Staff recommends approval.</w:t>
      </w:r>
    </w:p>
    <w:p>
      <w:pPr>
        <w:keepNext/>
        <w:pBdr>
          <w:bottom w:val="single" w:color="B9C8D3" w:sz="4" w:space="2"/>
        </w:pBdr>
        <w:spacing w:after="140" w:before="280"/>
      </w:pPr>
      <w:r>
        <w:rPr>
          <w:rFonts w:ascii="Times New Roman" w:cs="Times New Roman" w:eastAsia="Times New Roman" w:hAnsi="Times New Roman"/>
          <w:b/>
          <w:bCs/>
          <w:color w:val="082F5B"/>
          <w:sz w:val="24"/>
          <w:szCs w:val="24"/>
        </w:rPr>
        <w:t xml:space="preserve">BACKGROUND</w:t>
      </w:r>
    </w:p>
    <w:p>
      <w:pPr>
        <w:spacing w:after="200" w:line="276"/>
        <w:jc w:val="both"/>
      </w:pPr>
      <w:r>
        <w:rPr>
          <w:rFonts w:ascii="Times New Roman" w:cs="Times New Roman" w:eastAsia="Times New Roman" w:hAnsi="Times New Roman"/>
          <w:sz w:val="24"/>
          <w:szCs w:val="24"/>
        </w:rPr>
        <w:t xml:space="preserve">CalMuni PFA was established in 2020 as a statewide joint powers authority under California’s Joint Exercise of Powers Act (Government Code section 6500 and following), with bond authority under the Marks-Roos Local Bond Pooling Act of 1985. It is governed by a board of public-sector officials and serves California public agencies. It is a public financing authority, not a lender or vendor, and it is not the Agency’s municipal advisor.</w:t>
      </w:r>
    </w:p>
    <w:p>
      <w:pPr>
        <w:spacing w:after="200" w:line="276"/>
        <w:jc w:val="both"/>
      </w:pPr>
      <w:r>
        <w:rPr>
          <w:rFonts w:ascii="Times New Roman" w:cs="Times New Roman" w:eastAsia="Times New Roman" w:hAnsi="Times New Roman"/>
          <w:sz w:val="24"/>
          <w:szCs w:val="24"/>
        </w:rPr>
        <w:t xml:space="preserve">CalMuni PFA is administered by principals of Weist Law, which serves as its general counsel and bond counsel, and of CalMuni Advisors, an SEC- and MSRB-registered municipal advisor that serves as its financial advisor. Their fees on any financing are disclosed to the borrower before the financing is approved. The Agency may engage CalMuni Advisors or any independent advisor for optional advisory services.</w:t>
      </w:r>
    </w:p>
    <w:p>
      <w:pPr>
        <w:keepNext/>
        <w:pBdr>
          <w:bottom w:val="single" w:color="B9C8D3" w:sz="4" w:space="2"/>
        </w:pBdr>
        <w:spacing w:after="140" w:before="280"/>
      </w:pPr>
      <w:r>
        <w:rPr>
          <w:rFonts w:ascii="Times New Roman" w:cs="Times New Roman" w:eastAsia="Times New Roman" w:hAnsi="Times New Roman"/>
          <w:b/>
          <w:bCs/>
          <w:color w:val="082F5B"/>
          <w:sz w:val="24"/>
          <w:szCs w:val="24"/>
        </w:rPr>
        <w:t xml:space="preserve">WHAT CALMUNI PFA PROVIDES</w:t>
      </w:r>
    </w:p>
    <w:p>
      <w:pPr>
        <w:pStyle w:val="ListParagraph"/>
        <w:numPr>
          <w:ilvl w:val="0"/>
          <w:numId w:val="2"/>
        </w:numPr>
        <w:spacing w:after="140" w:line="264"/>
        <w:jc w:val="both"/>
      </w:pPr>
      <w:r>
        <w:rPr>
          <w:rFonts w:ascii="Times New Roman" w:cs="Times New Roman" w:eastAsia="Times New Roman" w:hAnsi="Times New Roman"/>
          <w:b/>
          <w:bCs/>
          <w:sz w:val="24"/>
          <w:szCs w:val="24"/>
        </w:rPr>
        <w:t xml:space="preserve">Financing structures.</w:t>
      </w:r>
      <w:r>
        <w:rPr>
          <w:rFonts w:ascii="Times New Roman" w:cs="Times New Roman" w:eastAsia="Times New Roman" w:hAnsi="Times New Roman"/>
          <w:sz w:val="24"/>
          <w:szCs w:val="24"/>
        </w:rPr>
        <w:t xml:space="preserve"> Revenue bonds, installment sale agreements, and loan financings under a single public legal framework.</w:t>
      </w:r>
    </w:p>
    <w:p>
      <w:pPr>
        <w:pStyle w:val="ListParagraph"/>
        <w:numPr>
          <w:ilvl w:val="0"/>
          <w:numId w:val="2"/>
        </w:numPr>
        <w:spacing w:after="140" w:line="264"/>
        <w:jc w:val="both"/>
      </w:pPr>
      <w:r>
        <w:rPr>
          <w:rFonts w:ascii="Times New Roman" w:cs="Times New Roman" w:eastAsia="Times New Roman" w:hAnsi="Times New Roman"/>
          <w:b/>
          <w:bCs/>
          <w:sz w:val="24"/>
          <w:szCs w:val="24"/>
        </w:rPr>
        <w:t xml:space="preserve">Competitive market access.</w:t>
      </w:r>
      <w:r>
        <w:rPr>
          <w:rFonts w:ascii="Times New Roman" w:cs="Times New Roman" w:eastAsia="Times New Roman" w:hAnsi="Times New Roman"/>
          <w:sz w:val="24"/>
          <w:szCs w:val="24"/>
        </w:rPr>
        <w:t xml:space="preserve"> Private placements are offered through an RFP process to 50+ banks, pension funds, and institutional investors; public offerings select from approximately 15 underwriters. There are no exclusive bank relationships and no predetermined pricing.</w:t>
      </w:r>
    </w:p>
    <w:p>
      <w:pPr>
        <w:pStyle w:val="ListParagraph"/>
        <w:numPr>
          <w:ilvl w:val="0"/>
          <w:numId w:val="2"/>
        </w:numPr>
        <w:spacing w:after="140" w:line="264"/>
        <w:jc w:val="both"/>
      </w:pPr>
      <w:r>
        <w:rPr>
          <w:rFonts w:ascii="Times New Roman" w:cs="Times New Roman" w:eastAsia="Times New Roman" w:hAnsi="Times New Roman"/>
          <w:b/>
          <w:bCs/>
          <w:sz w:val="24"/>
          <w:szCs w:val="24"/>
        </w:rPr>
        <w:t xml:space="preserve">Pooled financings.</w:t>
      </w:r>
      <w:r>
        <w:rPr>
          <w:rFonts w:ascii="Times New Roman" w:cs="Times New Roman" w:eastAsia="Times New Roman" w:hAnsi="Times New Roman"/>
          <w:sz w:val="24"/>
          <w:szCs w:val="24"/>
        </w:rPr>
        <w:t xml:space="preserve"> Under the Marks-Roos Act, multiple agencies can combine projects into a single transaction to share issuance costs. Each agency receives a separate allocation of proceeds and bears no liability for another agency’s obligations.</w:t>
      </w:r>
    </w:p>
    <w:p>
      <w:pPr>
        <w:pStyle w:val="ListParagraph"/>
        <w:numPr>
          <w:ilvl w:val="0"/>
          <w:numId w:val="2"/>
        </w:numPr>
        <w:spacing w:after="140" w:line="264"/>
        <w:jc w:val="both"/>
      </w:pPr>
      <w:r>
        <w:rPr>
          <w:rFonts w:ascii="Times New Roman" w:cs="Times New Roman" w:eastAsia="Times New Roman" w:hAnsi="Times New Roman"/>
          <w:b/>
          <w:bCs/>
          <w:sz w:val="24"/>
          <w:szCs w:val="24"/>
        </w:rPr>
        <w:t xml:space="preserve">Optional planning support (PFA 360).</w:t>
      </w:r>
      <w:r>
        <w:rPr>
          <w:rFonts w:ascii="Times New Roman" w:cs="Times New Roman" w:eastAsia="Times New Roman" w:hAnsi="Times New Roman"/>
          <w:sz w:val="24"/>
          <w:szCs w:val="24"/>
        </w:rPr>
        <w:t xml:space="preserve"> Long-range financial modeling that brings together an agency’s financial statements, debt covenants, capital improvement plan, pension obligations, and funding opportunities. Available as an optional service, billed separately, and never required.</w:t>
      </w:r>
    </w:p>
    <w:p>
      <w:pPr>
        <w:keepNext/>
        <w:pBdr>
          <w:bottom w:val="single" w:color="B9C8D3" w:sz="4" w:space="2"/>
        </w:pBdr>
        <w:spacing w:after="140" w:before="280"/>
      </w:pPr>
      <w:r>
        <w:rPr>
          <w:rFonts w:ascii="Times New Roman" w:cs="Times New Roman" w:eastAsia="Times New Roman" w:hAnsi="Times New Roman"/>
          <w:b/>
          <w:bCs/>
          <w:color w:val="082F5B"/>
          <w:sz w:val="24"/>
          <w:szCs w:val="24"/>
        </w:rPr>
        <w:t xml:space="preserve">MEMBERSHIP TERMS AND CONDITIONS</w:t>
      </w:r>
    </w:p>
    <w:p>
      <w:pPr>
        <w:spacing w:after="200" w:line="276"/>
        <w:jc w:val="both"/>
      </w:pPr>
      <w:r>
        <w:rPr>
          <w:rFonts w:ascii="Times New Roman" w:cs="Times New Roman" w:eastAsia="Times New Roman" w:hAnsi="Times New Roman"/>
          <w:sz w:val="24"/>
          <w:szCs w:val="24"/>
        </w:rPr>
        <w:t xml:space="preserve">Membership is governed by the Non-Charter Membership Agreement (Exhibit A). Key terms:</w:t>
      </w:r>
    </w:p>
    <w:tbl>
      <w:tblPr>
        <w:tblW w:type="dxa" w:w="9360"/>
        <w:tblBorders>
          <w:top w:val="single" w:color="B9C8D3" w:sz="4"/>
          <w:left w:val="single" w:color="B9C8D3" w:sz="4"/>
          <w:bottom w:val="single" w:color="B9C8D3" w:sz="4"/>
          <w:right w:val="single" w:color="B9C8D3" w:sz="4"/>
          <w:insideH w:val="single" w:color="B9C8D3" w:sz="4"/>
          <w:insideV w:val="single" w:color="B9C8D3" w:sz="4"/>
        </w:tblBorders>
      </w:tblPr>
      <w:tblGrid>
        <w:gridCol w:w="2400"/>
        <w:gridCol w:w="6960"/>
      </w:tblGrid>
      <w:tr>
        <w:tc>
          <w:tcPr>
            <w:tcW w:type="dxa" w:w="2400"/>
            <w:shd w:fill="EEF1F4" w:color="auto" w:val="clear"/>
            <w:tcMar>
              <w:top w:type="dxa" w:w="80"/>
              <w:left w:type="dxa" w:w="120"/>
              <w:bottom w:type="dxa" w:w="80"/>
              <w:right w:type="dxa" w:w="120"/>
            </w:tcMar>
            <w:vAlign w:val="top"/>
          </w:tcPr>
          <w:p>
            <w:pPr>
              <w:spacing w:after="0" w:line="252"/>
            </w:pPr>
            <w:r>
              <w:rPr>
                <w:rFonts w:ascii="Times New Roman" w:cs="Times New Roman" w:eastAsia="Times New Roman" w:hAnsi="Times New Roman"/>
                <w:b/>
                <w:bCs/>
                <w:sz w:val="22"/>
                <w:szCs w:val="22"/>
              </w:rPr>
              <w:t xml:space="preserve">Membership cost</w:t>
            </w:r>
          </w:p>
        </w:tc>
        <w:tc>
          <w:tcPr>
            <w:tcW w:type="dxa" w:w="6960"/>
            <w:tcMar>
              <w:top w:type="dxa" w:w="80"/>
              <w:left w:type="dxa" w:w="120"/>
              <w:bottom w:type="dxa" w:w="80"/>
              <w:right w:type="dxa" w:w="120"/>
            </w:tcMar>
            <w:vAlign w:val="top"/>
          </w:tcPr>
          <w:p>
            <w:pPr>
              <w:spacing w:after="0" w:line="252"/>
            </w:pPr>
            <w:r>
              <w:rPr>
                <w:rFonts w:ascii="Times New Roman" w:cs="Times New Roman" w:eastAsia="Times New Roman" w:hAnsi="Times New Roman"/>
                <w:b w:val="false"/>
                <w:bCs w:val="false"/>
                <w:sz w:val="22"/>
                <w:szCs w:val="22"/>
              </w:rPr>
              <w:t xml:space="preserve">None. No application fee, no annual dues, no retainer.</w:t>
            </w:r>
          </w:p>
        </w:tc>
      </w:tr>
      <w:tr>
        <w:tc>
          <w:tcPr>
            <w:tcW w:type="dxa" w:w="2400"/>
            <w:shd w:fill="EEF1F4" w:color="auto" w:val="clear"/>
            <w:tcMar>
              <w:top w:type="dxa" w:w="80"/>
              <w:left w:type="dxa" w:w="120"/>
              <w:bottom w:type="dxa" w:w="80"/>
              <w:right w:type="dxa" w:w="120"/>
            </w:tcMar>
            <w:vAlign w:val="top"/>
          </w:tcPr>
          <w:p>
            <w:pPr>
              <w:spacing w:after="0" w:line="252"/>
            </w:pPr>
            <w:r>
              <w:rPr>
                <w:rFonts w:ascii="Times New Roman" w:cs="Times New Roman" w:eastAsia="Times New Roman" w:hAnsi="Times New Roman"/>
                <w:b/>
                <w:bCs/>
                <w:sz w:val="22"/>
                <w:szCs w:val="22"/>
              </w:rPr>
              <w:t xml:space="preserve">Financial obligation</w:t>
            </w:r>
          </w:p>
        </w:tc>
        <w:tc>
          <w:tcPr>
            <w:tcW w:type="dxa" w:w="6960"/>
            <w:tcMar>
              <w:top w:type="dxa" w:w="80"/>
              <w:left w:type="dxa" w:w="120"/>
              <w:bottom w:type="dxa" w:w="80"/>
              <w:right w:type="dxa" w:w="120"/>
            </w:tcMar>
            <w:vAlign w:val="top"/>
          </w:tcPr>
          <w:p>
            <w:pPr>
              <w:spacing w:after="0" w:line="252"/>
            </w:pPr>
            <w:r>
              <w:rPr>
                <w:rFonts w:ascii="Times New Roman" w:cs="Times New Roman" w:eastAsia="Times New Roman" w:hAnsi="Times New Roman"/>
                <w:b w:val="false"/>
                <w:bCs w:val="false"/>
                <w:sz w:val="22"/>
                <w:szCs w:val="22"/>
              </w:rPr>
              <w:t xml:space="preserve">None. Membership does not obligate the Agency to any financing transaction.</w:t>
            </w:r>
          </w:p>
        </w:tc>
      </w:tr>
      <w:tr>
        <w:tc>
          <w:tcPr>
            <w:tcW w:type="dxa" w:w="2400"/>
            <w:shd w:fill="EEF1F4" w:color="auto" w:val="clear"/>
            <w:tcMar>
              <w:top w:type="dxa" w:w="80"/>
              <w:left w:type="dxa" w:w="120"/>
              <w:bottom w:type="dxa" w:w="80"/>
              <w:right w:type="dxa" w:w="120"/>
            </w:tcMar>
            <w:vAlign w:val="top"/>
          </w:tcPr>
          <w:p>
            <w:pPr>
              <w:spacing w:after="0" w:line="252"/>
            </w:pPr>
            <w:r>
              <w:rPr>
                <w:rFonts w:ascii="Times New Roman" w:cs="Times New Roman" w:eastAsia="Times New Roman" w:hAnsi="Times New Roman"/>
                <w:b/>
                <w:bCs/>
                <w:sz w:val="22"/>
                <w:szCs w:val="22"/>
              </w:rPr>
              <w:t xml:space="preserve">Cross-liability</w:t>
            </w:r>
          </w:p>
        </w:tc>
        <w:tc>
          <w:tcPr>
            <w:tcW w:type="dxa" w:w="6960"/>
            <w:tcMar>
              <w:top w:type="dxa" w:w="80"/>
              <w:left w:type="dxa" w:w="120"/>
              <w:bottom w:type="dxa" w:w="80"/>
              <w:right w:type="dxa" w:w="120"/>
            </w:tcMar>
            <w:vAlign w:val="top"/>
          </w:tcPr>
          <w:p>
            <w:pPr>
              <w:spacing w:after="0" w:line="252"/>
            </w:pPr>
            <w:r>
              <w:rPr>
                <w:rFonts w:ascii="Times New Roman" w:cs="Times New Roman" w:eastAsia="Times New Roman" w:hAnsi="Times New Roman"/>
                <w:b w:val="false"/>
                <w:bCs w:val="false"/>
                <w:sz w:val="22"/>
                <w:szCs w:val="22"/>
              </w:rPr>
              <w:t xml:space="preserve">None. The Agency bears no liability for any other member agency’s obligations.</w:t>
            </w:r>
          </w:p>
        </w:tc>
      </w:tr>
      <w:tr>
        <w:tc>
          <w:tcPr>
            <w:tcW w:type="dxa" w:w="2400"/>
            <w:shd w:fill="EEF1F4" w:color="auto" w:val="clear"/>
            <w:tcMar>
              <w:top w:type="dxa" w:w="80"/>
              <w:left w:type="dxa" w:w="120"/>
              <w:bottom w:type="dxa" w:w="80"/>
              <w:right w:type="dxa" w:w="120"/>
            </w:tcMar>
            <w:vAlign w:val="top"/>
          </w:tcPr>
          <w:p>
            <w:pPr>
              <w:spacing w:after="0" w:line="252"/>
            </w:pPr>
            <w:r>
              <w:rPr>
                <w:rFonts w:ascii="Times New Roman" w:cs="Times New Roman" w:eastAsia="Times New Roman" w:hAnsi="Times New Roman"/>
                <w:b/>
                <w:bCs/>
                <w:sz w:val="22"/>
                <w:szCs w:val="22"/>
              </w:rPr>
              <w:t xml:space="preserve">Voting rights</w:t>
            </w:r>
          </w:p>
        </w:tc>
        <w:tc>
          <w:tcPr>
            <w:tcW w:type="dxa" w:w="6960"/>
            <w:tcMar>
              <w:top w:type="dxa" w:w="80"/>
              <w:left w:type="dxa" w:w="120"/>
              <w:bottom w:type="dxa" w:w="80"/>
              <w:right w:type="dxa" w:w="120"/>
            </w:tcMar>
            <w:vAlign w:val="top"/>
          </w:tcPr>
          <w:p>
            <w:pPr>
              <w:spacing w:after="0" w:line="252"/>
            </w:pPr>
            <w:r>
              <w:rPr>
                <w:rFonts w:ascii="Times New Roman" w:cs="Times New Roman" w:eastAsia="Times New Roman" w:hAnsi="Times New Roman"/>
                <w:b w:val="false"/>
                <w:bCs w:val="false"/>
                <w:sz w:val="22"/>
                <w:szCs w:val="22"/>
              </w:rPr>
              <w:t xml:space="preserve">Non-charter (non-voting) membership. The Agency does not vote on actions of the Authority’s Board and does not serve on it.</w:t>
            </w:r>
          </w:p>
        </w:tc>
      </w:tr>
      <w:tr>
        <w:tc>
          <w:tcPr>
            <w:tcW w:type="dxa" w:w="2400"/>
            <w:shd w:fill="EEF1F4" w:color="auto" w:val="clear"/>
            <w:tcMar>
              <w:top w:type="dxa" w:w="80"/>
              <w:left w:type="dxa" w:w="120"/>
              <w:bottom w:type="dxa" w:w="80"/>
              <w:right w:type="dxa" w:w="120"/>
            </w:tcMar>
            <w:vAlign w:val="top"/>
          </w:tcPr>
          <w:p>
            <w:pPr>
              <w:spacing w:after="0" w:line="252"/>
            </w:pPr>
            <w:r>
              <w:rPr>
                <w:rFonts w:ascii="Times New Roman" w:cs="Times New Roman" w:eastAsia="Times New Roman" w:hAnsi="Times New Roman"/>
                <w:b/>
                <w:bCs/>
                <w:sz w:val="22"/>
                <w:szCs w:val="22"/>
              </w:rPr>
              <w:t xml:space="preserve">Duration</w:t>
            </w:r>
          </w:p>
        </w:tc>
        <w:tc>
          <w:tcPr>
            <w:tcW w:type="dxa" w:w="6960"/>
            <w:tcMar>
              <w:top w:type="dxa" w:w="80"/>
              <w:left w:type="dxa" w:w="120"/>
              <w:bottom w:type="dxa" w:w="80"/>
              <w:right w:type="dxa" w:w="120"/>
            </w:tcMar>
            <w:vAlign w:val="top"/>
          </w:tcPr>
          <w:p>
            <w:pPr>
              <w:spacing w:after="0" w:line="252"/>
            </w:pPr>
            <w:r>
              <w:rPr>
                <w:rFonts w:ascii="Times New Roman" w:cs="Times New Roman" w:eastAsia="Times New Roman" w:hAnsi="Times New Roman"/>
                <w:b w:val="false"/>
                <w:bCs w:val="false"/>
                <w:sz w:val="22"/>
                <w:szCs w:val="22"/>
              </w:rPr>
              <w:t xml:space="preserve">Ongoing. The Agency may withdraw by written notice at any time when no financing through CalMuni PFA for the Agency, or approved by the Agency within its jurisdiction, is outstanding. Once such a financing is issued, membership continues until it is repaid.</w:t>
            </w:r>
          </w:p>
        </w:tc>
      </w:tr>
      <w:tr>
        <w:tc>
          <w:tcPr>
            <w:tcW w:type="dxa" w:w="2400"/>
            <w:shd w:fill="EEF1F4" w:color="auto" w:val="clear"/>
            <w:tcMar>
              <w:top w:type="dxa" w:w="80"/>
              <w:left w:type="dxa" w:w="120"/>
              <w:bottom w:type="dxa" w:w="80"/>
              <w:right w:type="dxa" w:w="120"/>
            </w:tcMar>
            <w:vAlign w:val="top"/>
          </w:tcPr>
          <w:p>
            <w:pPr>
              <w:spacing w:after="0" w:line="252"/>
            </w:pPr>
            <w:r>
              <w:rPr>
                <w:rFonts w:ascii="Times New Roman" w:cs="Times New Roman" w:eastAsia="Times New Roman" w:hAnsi="Times New Roman"/>
                <w:b/>
                <w:bCs/>
                <w:sz w:val="22"/>
                <w:szCs w:val="22"/>
              </w:rPr>
              <w:t xml:space="preserve">Approvals required</w:t>
            </w:r>
          </w:p>
        </w:tc>
        <w:tc>
          <w:tcPr>
            <w:tcW w:type="dxa" w:w="6960"/>
            <w:tcMar>
              <w:top w:type="dxa" w:w="80"/>
              <w:left w:type="dxa" w:w="120"/>
              <w:bottom w:type="dxa" w:w="80"/>
              <w:right w:type="dxa" w:w="120"/>
            </w:tcMar>
            <w:vAlign w:val="top"/>
          </w:tcPr>
          <w:p>
            <w:pPr>
              <w:spacing w:after="0" w:line="252"/>
            </w:pPr>
            <w:r>
              <w:rPr>
                <w:rFonts w:ascii="Times New Roman" w:cs="Times New Roman" w:eastAsia="Times New Roman" w:hAnsi="Times New Roman"/>
                <w:b w:val="false"/>
                <w:bCs w:val="false"/>
                <w:sz w:val="22"/>
                <w:szCs w:val="22"/>
              </w:rPr>
              <w:t xml:space="preserve">Adoption of the Resolution and execution of the Non-Charter Membership Agreement. No further approvals are required for membership itself.</w:t>
            </w:r>
          </w:p>
        </w:tc>
      </w:tr>
      <w:tr>
        <w:tc>
          <w:tcPr>
            <w:tcW w:type="dxa" w:w="2400"/>
            <w:shd w:fill="EEF1F4" w:color="auto" w:val="clear"/>
            <w:tcMar>
              <w:top w:type="dxa" w:w="80"/>
              <w:left w:type="dxa" w:w="120"/>
              <w:bottom w:type="dxa" w:w="80"/>
              <w:right w:type="dxa" w:w="120"/>
            </w:tcMar>
            <w:vAlign w:val="top"/>
          </w:tcPr>
          <w:p>
            <w:pPr>
              <w:spacing w:after="0" w:line="252"/>
            </w:pPr>
            <w:r>
              <w:rPr>
                <w:rFonts w:ascii="Times New Roman" w:cs="Times New Roman" w:eastAsia="Times New Roman" w:hAnsi="Times New Roman"/>
                <w:b/>
                <w:bCs/>
                <w:sz w:val="22"/>
                <w:szCs w:val="22"/>
              </w:rPr>
              <w:t xml:space="preserve">Future financings</w:t>
            </w:r>
          </w:p>
        </w:tc>
        <w:tc>
          <w:tcPr>
            <w:tcW w:type="dxa" w:w="6960"/>
            <w:tcMar>
              <w:top w:type="dxa" w:w="80"/>
              <w:left w:type="dxa" w:w="120"/>
              <w:bottom w:type="dxa" w:w="80"/>
              <w:right w:type="dxa" w:w="120"/>
            </w:tcMar>
            <w:vAlign w:val="top"/>
          </w:tcPr>
          <w:p>
            <w:pPr>
              <w:spacing w:after="0" w:line="252"/>
            </w:pPr>
            <w:r>
              <w:rPr>
                <w:rFonts w:ascii="Times New Roman" w:cs="Times New Roman" w:eastAsia="Times New Roman" w:hAnsi="Times New Roman"/>
                <w:b w:val="false"/>
                <w:bCs w:val="false"/>
                <w:sz w:val="22"/>
                <w:szCs w:val="22"/>
              </w:rPr>
              <w:t xml:space="preserve">Any financing through CalMuni PFA requires separate approval by the [City Council] [Board] at the time of the transaction.</w:t>
            </w:r>
          </w:p>
        </w:tc>
      </w:tr>
    </w:tbl>
    <w:p>
      <w:pPr>
        <w:spacing w:after="60"/>
      </w:pPr>
      <w:r>
        <w:rPr>
          <w:rFonts w:ascii="Times New Roman" w:cs="Times New Roman" w:eastAsia="Times New Roman" w:hAnsi="Times New Roman"/>
          <w:sz w:val="24"/>
          <w:szCs w:val="24"/>
        </w:rPr>
        <w:t xml:space="preserve"/>
      </w:r>
    </w:p>
    <w:p>
      <w:pPr>
        <w:keepNext/>
        <w:pBdr>
          <w:bottom w:val="single" w:color="B9C8D3" w:sz="4" w:space="2"/>
        </w:pBdr>
        <w:spacing w:after="140" w:before="280"/>
      </w:pPr>
      <w:r>
        <w:rPr>
          <w:rFonts w:ascii="Times New Roman" w:cs="Times New Roman" w:eastAsia="Times New Roman" w:hAnsi="Times New Roman"/>
          <w:b/>
          <w:bCs/>
          <w:color w:val="082F5B"/>
          <w:sz w:val="24"/>
          <w:szCs w:val="24"/>
        </w:rPr>
        <w:t xml:space="preserve">FISCAL IMPACT</w:t>
      </w:r>
    </w:p>
    <w:p>
      <w:pPr>
        <w:spacing w:after="200" w:line="276"/>
        <w:jc w:val="both"/>
      </w:pPr>
      <w:r>
        <w:rPr>
          <w:rFonts w:ascii="Times New Roman" w:cs="Times New Roman" w:eastAsia="Times New Roman" w:hAnsi="Times New Roman"/>
          <w:sz w:val="24"/>
          <w:szCs w:val="24"/>
        </w:rPr>
        <w:t xml:space="preserve">There is no fiscal impact associated with approval of non-charter membership. No fee, dues, or other financial consideration is required to join or maintain membership in CalMuni PFA.</w:t>
      </w:r>
    </w:p>
    <w:p>
      <w:pPr>
        <w:spacing w:after="200" w:line="276"/>
        <w:jc w:val="both"/>
      </w:pPr>
      <w:r>
        <w:rPr>
          <w:rFonts w:ascii="Times New Roman" w:cs="Times New Roman" w:eastAsia="Times New Roman" w:hAnsi="Times New Roman"/>
          <w:sz w:val="24"/>
          <w:szCs w:val="24"/>
        </w:rPr>
        <w:t xml:space="preserve">Any future financing proposed to be conducted through the Authority will be brought to the [City Council] [Board] for separate consideration and approval, at which time staff will provide a full analysis of proposed debt service, repayment sources, and all applicable fiscal impacts. No transaction may be consummated without independent [City Council] [Board] authorization.</w:t>
      </w:r>
    </w:p>
    <w:p>
      <w:pPr>
        <w:keepNext/>
        <w:pBdr>
          <w:bottom w:val="single" w:color="B9C8D3" w:sz="4" w:space="2"/>
        </w:pBdr>
        <w:spacing w:after="140" w:before="280"/>
      </w:pPr>
      <w:r>
        <w:rPr>
          <w:rFonts w:ascii="Times New Roman" w:cs="Times New Roman" w:eastAsia="Times New Roman" w:hAnsi="Times New Roman"/>
          <w:b/>
          <w:bCs/>
          <w:color w:val="082F5B"/>
          <w:sz w:val="24"/>
          <w:szCs w:val="24"/>
        </w:rPr>
        <w:t xml:space="preserve">STRATEGIC RATIONALE</w:t>
      </w:r>
    </w:p>
    <w:p>
      <w:pPr>
        <w:spacing w:after="200" w:line="276"/>
        <w:jc w:val="both"/>
      </w:pPr>
      <w:r>
        <w:rPr>
          <w:rFonts w:ascii="Times New Roman" w:cs="Times New Roman" w:eastAsia="Times New Roman" w:hAnsi="Times New Roman"/>
          <w:sz w:val="24"/>
          <w:szCs w:val="24"/>
        </w:rPr>
        <w:t xml:space="preserve">Staff recommends approval for the following reasons:</w:t>
      </w:r>
    </w:p>
    <w:p>
      <w:pPr>
        <w:pStyle w:val="ListParagraph"/>
        <w:numPr>
          <w:ilvl w:val="0"/>
          <w:numId w:val="2"/>
        </w:numPr>
        <w:spacing w:after="140" w:line="264"/>
        <w:jc w:val="both"/>
      </w:pPr>
      <w:r>
        <w:rPr>
          <w:rFonts w:ascii="Times New Roman" w:cs="Times New Roman" w:eastAsia="Times New Roman" w:hAnsi="Times New Roman"/>
          <w:b/>
          <w:bCs/>
          <w:sz w:val="24"/>
          <w:szCs w:val="24"/>
        </w:rPr>
        <w:t xml:space="preserve">Readiness.</w:t>
      </w:r>
      <w:r>
        <w:rPr>
          <w:rFonts w:ascii="Times New Roman" w:cs="Times New Roman" w:eastAsia="Times New Roman" w:hAnsi="Times New Roman"/>
          <w:sz w:val="24"/>
          <w:szCs w:val="24"/>
        </w:rPr>
        <w:t xml:space="preserve"> Membership positions the Agency to act efficiently when a capital need arises, with time to compare financing options rather than deciding under pressure.</w:t>
      </w:r>
    </w:p>
    <w:p>
      <w:pPr>
        <w:pStyle w:val="ListParagraph"/>
        <w:numPr>
          <w:ilvl w:val="0"/>
          <w:numId w:val="2"/>
        </w:numPr>
        <w:spacing w:after="140" w:line="264"/>
        <w:jc w:val="both"/>
      </w:pPr>
      <w:r>
        <w:rPr>
          <w:rFonts w:ascii="Times New Roman" w:cs="Times New Roman" w:eastAsia="Times New Roman" w:hAnsi="Times New Roman"/>
          <w:b/>
          <w:bCs/>
          <w:sz w:val="24"/>
          <w:szCs w:val="24"/>
        </w:rPr>
        <w:t xml:space="preserve">Access to pooled financings.</w:t>
      </w:r>
      <w:r>
        <w:rPr>
          <w:rFonts w:ascii="Times New Roman" w:cs="Times New Roman" w:eastAsia="Times New Roman" w:hAnsi="Times New Roman"/>
          <w:sz w:val="24"/>
          <w:szCs w:val="24"/>
        </w:rPr>
        <w:t xml:space="preserve"> For smaller individual projects, pooling with other members can reduce issuance costs.</w:t>
      </w:r>
    </w:p>
    <w:p>
      <w:pPr>
        <w:pStyle w:val="ListParagraph"/>
        <w:numPr>
          <w:ilvl w:val="0"/>
          <w:numId w:val="2"/>
        </w:numPr>
        <w:spacing w:after="140" w:line="264"/>
        <w:jc w:val="both"/>
      </w:pPr>
      <w:r>
        <w:rPr>
          <w:rFonts w:ascii="Times New Roman" w:cs="Times New Roman" w:eastAsia="Times New Roman" w:hAnsi="Times New Roman"/>
          <w:b/>
          <w:bCs/>
          <w:sz w:val="24"/>
          <w:szCs w:val="24"/>
        </w:rPr>
        <w:t xml:space="preserve">Optional planning support.</w:t>
      </w:r>
      <w:r>
        <w:rPr>
          <w:rFonts w:ascii="Times New Roman" w:cs="Times New Roman" w:eastAsia="Times New Roman" w:hAnsi="Times New Roman"/>
          <w:sz w:val="24"/>
          <w:szCs w:val="24"/>
        </w:rPr>
        <w:t xml:space="preserve"> Long-range financial modeling is available if the Agency elects it, billed separately.</w:t>
      </w:r>
    </w:p>
    <w:p>
      <w:pPr>
        <w:pStyle w:val="ListParagraph"/>
        <w:numPr>
          <w:ilvl w:val="0"/>
          <w:numId w:val="2"/>
        </w:numPr>
        <w:spacing w:after="140" w:line="264"/>
        <w:jc w:val="both"/>
      </w:pPr>
      <w:r>
        <w:rPr>
          <w:rFonts w:ascii="Times New Roman" w:cs="Times New Roman" w:eastAsia="Times New Roman" w:hAnsi="Times New Roman"/>
          <w:b/>
          <w:bCs/>
          <w:sz w:val="24"/>
          <w:szCs w:val="24"/>
        </w:rPr>
        <w:t xml:space="preserve">No financial obligation.</w:t>
      </w:r>
      <w:r>
        <w:rPr>
          <w:rFonts w:ascii="Times New Roman" w:cs="Times New Roman" w:eastAsia="Times New Roman" w:hAnsi="Times New Roman"/>
          <w:sz w:val="24"/>
          <w:szCs w:val="24"/>
        </w:rPr>
        <w:t xml:space="preserve"> Membership imposes no cost and no financing commitment, and it may be terminated by written notice while no financing is outstanding.</w:t>
      </w:r>
    </w:p>
    <w:p>
      <w:pPr>
        <w:keepNext/>
        <w:pBdr>
          <w:bottom w:val="single" w:color="B9C8D3" w:sz="4" w:space="2"/>
        </w:pBdr>
        <w:spacing w:after="140" w:before="280"/>
      </w:pPr>
      <w:r>
        <w:rPr>
          <w:rFonts w:ascii="Times New Roman" w:cs="Times New Roman" w:eastAsia="Times New Roman" w:hAnsi="Times New Roman"/>
          <w:b/>
          <w:bCs/>
          <w:color w:val="082F5B"/>
          <w:sz w:val="24"/>
          <w:szCs w:val="24"/>
        </w:rPr>
        <w:t xml:space="preserve">ALTERNATIVES</w:t>
      </w:r>
    </w:p>
    <w:p>
      <w:pPr>
        <w:pStyle w:val="ListParagraph"/>
        <w:numPr>
          <w:ilvl w:val="0"/>
          <w:numId w:val="3"/>
        </w:numPr>
        <w:spacing w:after="120"/>
      </w:pPr>
      <w:r>
        <w:rPr>
          <w:rFonts w:ascii="Times New Roman" w:cs="Times New Roman" w:eastAsia="Times New Roman" w:hAnsi="Times New Roman"/>
          <w:sz w:val="24"/>
          <w:szCs w:val="24"/>
        </w:rPr>
        <w:t xml:space="preserve">Adopt the Resolution approving non-charter membership and authorizing execution of the Non-Charter Membership Agreement.</w:t>
      </w:r>
    </w:p>
    <w:p>
      <w:pPr>
        <w:pStyle w:val="ListParagraph"/>
        <w:numPr>
          <w:ilvl w:val="0"/>
          <w:numId w:val="3"/>
        </w:numPr>
        <w:spacing w:after="200"/>
      </w:pPr>
      <w:r>
        <w:rPr>
          <w:rFonts w:ascii="Times New Roman" w:cs="Times New Roman" w:eastAsia="Times New Roman" w:hAnsi="Times New Roman"/>
          <w:sz w:val="24"/>
          <w:szCs w:val="24"/>
        </w:rPr>
        <w:t xml:space="preserve">Do not approve, and provide direction to staff.</w:t>
      </w:r>
    </w:p>
    <w:p>
      <w:pPr>
        <w:keepNext/>
        <w:pBdr>
          <w:bottom w:val="single" w:color="B9C8D3" w:sz="4" w:space="2"/>
        </w:pBdr>
        <w:spacing w:after="140" w:before="280"/>
      </w:pPr>
      <w:r>
        <w:rPr>
          <w:rFonts w:ascii="Times New Roman" w:cs="Times New Roman" w:eastAsia="Times New Roman" w:hAnsi="Times New Roman"/>
          <w:b/>
          <w:bCs/>
          <w:color w:val="082F5B"/>
          <w:sz w:val="24"/>
          <w:szCs w:val="24"/>
        </w:rPr>
        <w:t xml:space="preserve">ATTACHMENTS</w:t>
      </w:r>
    </w:p>
    <w:p>
      <w:pPr>
        <w:spacing w:after="60"/>
      </w:pPr>
      <w:r>
        <w:rPr>
          <w:rFonts w:ascii="Times New Roman" w:cs="Times New Roman" w:eastAsia="Times New Roman" w:hAnsi="Times New Roman"/>
          <w:sz w:val="24"/>
          <w:szCs w:val="24"/>
        </w:rPr>
        <w:t xml:space="preserve">Exhibit A: Non-Charter Membership Agreement</w:t>
      </w:r>
    </w:p>
    <w:p>
      <w:pPr>
        <w:spacing w:after="60"/>
      </w:pPr>
      <w:r>
        <w:rPr>
          <w:rFonts w:ascii="Times New Roman" w:cs="Times New Roman" w:eastAsia="Times New Roman" w:hAnsi="Times New Roman"/>
          <w:sz w:val="24"/>
          <w:szCs w:val="24"/>
        </w:rPr>
        <w:t xml:space="preserve">Exhibit B: Resolution No. _______ (Approving Non-Charter Membership)</w:t>
      </w:r>
    </w:p>
    <w:p>
      <w:pPr>
        <w:spacing w:after="200" w:line="276"/>
      </w:pPr>
      <w:r>
        <w:rPr>
          <w:rFonts w:ascii="Times New Roman" w:cs="Times New Roman" w:eastAsia="Times New Roman" w:hAnsi="Times New Roman"/>
          <w:sz w:val="24"/>
          <w:szCs w:val="24"/>
        </w:rPr>
        <w:t xml:space="preserve">Exhibit C: CalMuni PFA Membership Overview</w:t>
      </w:r>
    </w:p>
    <w:sectPr>
      <w:headerReference w:type="default" r:id="rId7"/>
      <w:headerReference w:type="first" r:id="rId8"/>
      <w:footerReference w:type="default" r:id="rId9"/>
      <w:footerReference w:type="first" r:id="rId10"/>
      <w:pgSz w:w="12240" w:h="15840" w:orient="portrait"/>
      <w:pgMar w:top="1440" w:right="1440" w:bottom="1300" w:left="1440" w:header="540" w:footer="500" w:gutter="0"/>
      <w:pgNumType/>
      <w:titlePg/>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B9C8D3" w:sz="4" w:space="4"/>
      </w:pBdr>
      <w:jc w:val="center"/>
    </w:pPr>
    <w:r>
      <w:rPr>
        <w:rFonts w:ascii="Arial" w:cs="Arial" w:eastAsia="Arial" w:hAnsi="Arial"/>
        <w:color w:val="607B91"/>
        <w:sz w:val="15"/>
        <w:szCs w:val="15"/>
      </w:rPr>
      <w:t xml:space="preserve">Staff Report  |  Page </w:t>
    </w:r>
    <w:r>
      <w:rPr>
        <w:rFonts w:ascii="Arial" w:cs="Arial" w:eastAsia="Arial" w:hAnsi="Arial"/>
        <w:color w:val="607B91"/>
        <w:sz w:val="15"/>
        <w:szCs w:val="15"/>
      </w:rP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B9C8D3" w:sz="4" w:space="4"/>
      </w:pBdr>
      <w:jc w:val="center"/>
    </w:pPr>
    <w:r>
      <w:rPr>
        <w:rFonts w:ascii="Arial" w:cs="Arial" w:eastAsia="Arial" w:hAnsi="Arial"/>
        <w:color w:val="607B91"/>
        <w:sz w:val="15"/>
        <w:szCs w:val="15"/>
      </w:rPr>
      <w:t xml:space="preserve">Staff Report  |  Page </w:t>
    </w:r>
    <w:r>
      <w:rPr>
        <w:rFonts w:ascii="Arial" w:cs="Arial" w:eastAsia="Arial" w:hAnsi="Arial"/>
        <w:color w:val="607B91"/>
        <w:sz w:val="15"/>
        <w:szCs w:val="15"/>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40"/>
    </w:pPr>
    <w:r>
      <w:drawing>
        <wp:inline distT="0" distB="0" distL="0" distR="0">
          <wp:extent cx="323850" cy="323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323850" cy="323850"/>
                  </a:xfrm>
                  <a:prstGeom prst="rect">
                    <a:avLst/>
                  </a:prstGeom>
                </pic:spPr>
              </pic:pic>
            </a:graphicData>
          </a:graphic>
        </wp:inline>
      </w:drawing>
    </w:r>
    <w:r>
      <w:rPr>
        <w:rFonts w:ascii="Arial" w:cs="Arial" w:eastAsia="Arial" w:hAnsi="Arial"/>
        <w:b/>
        <w:bCs/>
        <w:color w:val="082F5B"/>
        <w:sz w:val="16"/>
        <w:szCs w:val="16"/>
      </w:rPr>
      <w:t xml:space="preserve">   CalMuni PFA Member Packet</w:t>
    </w:r>
    <w:r>
      <w:rPr>
        <w:rFonts w:ascii="Arial" w:cs="Arial" w:eastAsia="Arial" w:hAnsi="Arial"/>
        <w:color w:val="607B91"/>
        <w:sz w:val="16"/>
        <w:szCs w:val="16"/>
      </w:rPr>
      <w:t xml:space="preserve">  |  Sample Staff Report</w:t>
    </w:r>
  </w:p>
  <w:p>
    <w:pPr>
      <w:pBdr>
        <w:bottom w:val="single" w:color="EE6A24" w:sz="6" w:space="4"/>
      </w:pBdr>
      <w:spacing w:after="120"/>
    </w:pPr>
    <w:r>
      <w:rPr>
        <w:rFonts w:ascii="Arial" w:cs="Arial" w:eastAsia="Arial" w:hAnsi="Arial"/>
        <w:i/>
        <w:iCs/>
        <w:color w:val="607B91"/>
        <w:sz w:val="14"/>
        <w:szCs w:val="14"/>
      </w:rPr>
      <w:t xml:space="preserve">Sample for agency use. Adapt to your agency's format and remove this header before publishing.</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40" w:hanging="300"/>
      </w:pPr>
    </w:lvl>
  </w:abstractNum>
  <w:abstractNum w:abstractNumId="3" w15:restartNumberingAfterBreak="0">
    <w:multiLevelType w:val="hybridMultilevel"/>
    <w:lvl w:ilvl="0" w15:tentative="1">
      <w:start w:val="1"/>
      <w:numFmt w:val="decimal"/>
      <w:lvlText w:val="%1."/>
      <w:lvlJc w:val="left"/>
      <w:pPr>
        <w:ind w:left="540" w:hanging="36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 Id="rId10" Type="http://schemas.openxmlformats.org/officeDocument/2006/relationships/footer" Target="footer2.xm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Relationship Id="rId0" Type="http://schemas.openxmlformats.org/officeDocument/2006/relationships/image" Target="media/ad25f4df98439c621ca1da7bced96b93feb29473.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Sample Staff Report: Non-Charter Membership in CalMuni PFA</dc:title>
  <dc:creator>California Municipal Public Financing Authority</dc:creator>
  <cp:lastModifiedBy>Un-named</cp:lastModifiedBy>
  <cp:revision>1</cp:revision>
  <dcterms:created xsi:type="dcterms:W3CDTF">2026-09-25T11:01:33.729Z</dcterms:created>
  <dcterms:modified xsi:type="dcterms:W3CDTF">2026-09-25T11:01:33.729Z</dcterms:modified>
</cp:coreProperties>
</file>

<file path=docProps/custom.xml><?xml version="1.0" encoding="utf-8"?>
<Properties xmlns="http://schemas.openxmlformats.org/officeDocument/2006/custom-properties" xmlns:vt="http://schemas.openxmlformats.org/officeDocument/2006/docPropsVTypes"/>
</file>